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237</w:t>
      </w:r>
    </w:p>
    <w:p>
      <w:r>
        <w:t>Bundesgericht (BGE), 1978-06-29, IT</w:t>
      </w:r>
    </w:p>
    <w:p>
      <w:r>
        <w:rPr>
          <w:b/>
        </w:rPr>
        <w:t xml:space="preserve">Quelle: </w:t>
      </w:r>
      <w:r>
        <w:t>https://mcp.opencaselaw.ch/entscheid/bge_104 II 237</w:t>
      </w:r>
    </w:p>
    <w:p>
      <w:r>
        <w:t>FR: ATF 104 II 237</w:t>
      </w:r>
    </w:p>
    <w:p>
      <w:r>
        <w:t>IT: DTF 104 II 237</w:t>
      </w:r>
    </w:p>
    <w:p>
      <w:pPr>
        <w:pStyle w:val="Heading2"/>
      </w:pPr>
      <w:r>
        <w:t>Regeste</w:t>
      </w:r>
    </w:p>
    <w:p>
      <w:r>
        <w:t>Regeste Nebenfolgen der Scheidung. Wohnrecht. Herabsetzbarkeit von Leistungen, die Gegenstand einer Scheidungskonvention bilden. Entschädigung. Art. 153, Art. 776 ff. und Art. 151 ZGB. 1. Ein Wohnrecht mit dinglicher Wirkung kann nicht Gegenstand einer Klage gemäss Art. 153 ZGB bilden (E. 3). 2. Die Parteien können eine Entschädigung im Sinne von Art. 151 ZGB grundsätzlich unabhängig vom Vorliegen eines Verschuldens vereinbaren (E. 5). 3. Eine Entschädigung, die als Ersatz für infolge der Scheidung entgangene Anwartschaften zugesprochen wurde, unterliegt der Herabsetzung im Sinne von Art. 153 Abs. 2 ZGB nicht. Wurde die Rechtsnatur der Entschädigung seinerzeit nicht spezifiziert, so obliegt es dem Richter im Herabsetzungsverfahren, sie vorfrageweise gemäss den Umständen zur Zeit der Scheidung zu bestimmen (E. 5).</w:t>
      </w:r>
    </w:p>
    <w:p>
      <w:pPr>
        <w:pStyle w:val="Heading2"/>
      </w:pPr>
      <w:r>
        <w:t>Erwägungen</w:t>
      </w:r>
    </w:p>
    <w:p>
      <w:r>
        <w:rPr>
          <w:b/>
        </w:rPr>
        <w:t>E. 5</w:t>
      </w:r>
    </w:p>
    <w:p>
      <w:r>
        <w:t>Con il ricorso per riforma adesivo l'attore reitera le conclusioni già respinte dalla Corte cantonale, tendenti alla riduzione a Fr. 800.- del contributo mensile per il mantenimento della figlia C., e a Fr. 1500.- di quello per il mantenimento dell'ex-moglie. Le convenute contestano che la rendita per l'ex-moglie possa essere considerata come una prestazione riducibile ai sensi dell' art. 153 cpv. 2 CC e che le condizioni economiche dell'attore siano mutate in modo da giustificare la modifica della convenzione omologata con la sentenza di divorzio. Né la convenzione sulle conseguenze accessorie del divorzio, né la sentenza di divorzio che la contiene precisano su quale base giuridica è fondata la rendita a favore dell'ex-moglie. Ove non risulti dalla sentenza di divorzio se, ed eventualmente in quale misura, una rendita a carico di un ex-coniuge sia destinata a compensare la perdita del mantenimento, incombe in linea di principio a chi chiede la riduzione di tale rendita l'onere di provare che trattasi di una prestazione riducibile ai sensi dell' art. 153 cpv. 2 CC ; la questione va risolta alla stregua della situazione desumibile dagli atti al momento della stipulazione della convenzione e a quello della pronunzia della sentenza di divorzio ( DTF 71 II 13 ). Rilevando che il giudice del divorzio non si era pronunciato sulla colpa, la Corte cantonale ha concluso che mancava la prova dell'esistenza di uno dei presupposti dell' art. 151 CC , BGE 104 II 237 S. 244 ossia di una colpa del coniuge tenuto a corrispondere la rendita. Poiché non era possibile esaminare la questione della colpa in sede di decisione sulla modifica della decisione di divorzio, come base legale della rendita a favore dell'ex-moglie poteva entrare in considerazione, secondo la Corte cantonale, soltanto l' art. 152 CC . Tale conclusione non appare esatta. Conviene in primo luogo precisare che, come osservano a ragione le convenute, essa non trova sufficiente conforto nella sentenza del Tribunale federale del 7 giugno 1956, pubblicata in Blätter für Zürcherische Rechtsprechung, vol. 57 (1958), pag. 255 segg. Da questa decisione può evincersi soltanto che non va usato un parametro eccessivamente rigoroso per quanto concerne l'onere della prova incombente a chi chiede la riduzione delle prestazioni stabilite in una sentenza di divorzio, e che la questione della colpa non deve essere esaminata alla luce di nuove circostanze, ossia alla luce di circostanze che non siano state evocate nel corso della causa di divorzio. Decisivo appare nel caso in esame il fatto che le parti di una causa di divorzio possono regolare mediante convenzione sulle conseguenze accessorie del divorzio soggetta ad omologazione del giudice l'indennizzo per il pregiudizio di diritti patrimoniali o di aspettative ai sensi dell' art. 151 cpv. 1 CC , prescindendo dalla colpa. Il presupposto dell'accertamento di una colpa è vincolante allorché il giudice è chiamato a determinare direttamente l'equa indennità prevista dall' art. 151 cpv. 1 CC ; laddove le parti stesse si accordino direttamente circa tale indennità, ogni indagine sulla colpa, ai fini dell'applicazione dell' art. 151 cpv. 1 CC , è superflua ed è, salvo in casi in cui la convenzione preveda prestazioni assolutamente incongrue, addirittura da evitare, nell'interesse di un'armonica soluzione sulle conseguenze patrimoniali del divorzio. Nella fattispecie il giudice ha attribuito l'insanabile turbamento delle relazioni coniugali ad una "diversità di carattere e di personalità". Le parti hanno con la convenzione disciplinato dettagliatamente le conseguenze patrimoniali del divorzio, senza specificare se le prestazioni finanziarie concordate fossero stabilite a titolo alimentare o quale indennità per il pregiudizio dei diritti patrimoniali o le aspettative dell'ex-moglie ( art. 151 cpv. 1 CC ) o addirittura anche a titolo di riparazione morale ( art. 151 cpv. 2 CC ). Nel caso in esame mancano seri indizi che BGE 104 II 237 S. 245 lascino supporre che la rendita stabilita a favore dell'ex-moglie sia stata pattuita in parte a titolo di riparazione morale, e ciò contrariamente a quanto sembrano ritenere le convenute. Deve invece ammettersi che tale rendita costituisca anche un'indennità per il pregiudizio dei diritti patrimoniali ed eventualmente delle aspettative dell'ex-moglie. Lo stesso termine usato nella clausola 2.2 della convenzione, in cui è detto che B. riceverà "als Abgeltung" una rendita mensile di Fr. 2750.- fa ritenere che con detta rendita si sia voluto indennizzare la perdita degli elementi considerati nell' art. 151 cpv. 1 CC . Anche il fatto che la rendita, secondo quanto disposto nella stessa clausola 2.2 della convenzione, debba continuare ad essere versata alla beneficiaria in caso di premorienza del dott. A., a carico della sua successione, è un indizio che milita a favore della natura indennizzatoria della rendita (cfr. DTF 100 II 2 ). Dovendosi concludere, contrariamente a quanto ritenuto dalla Corte cantonale, che la rendita disposta a favore dell'ex-moglie dell'attore si fonda sull' art. 151 cpv. 1 CC , è d'uopo determinare se essa sia destinata a indennizzare soltanto il pregiudizio dei diritti patrimoniali (ossia, concretamente, la perdita del diritto al mantenimento), od anche, e, in caso affermativo, in quale misura, un eventuale pregiudizio delle aspettative subito dall'ex-moglie dell'attore. Infatti, la riduzione di una rendita fondata sull' art. 151 cpv. 1 CC può essere chiesta soltanto nella misura in cui tale rendita sia destinata a indennizzare la perdita del diritto al mantenimento. Le istanze cantonali non si sono occupate di questo aspetto, dato che hanno ritenuto che la rendita fosse basata sull' art. 152 CC . Nella fattispecie il Tribunale federale non è in grado di procedere ad un'eventuale suddivisione della rendita in una parte destinata a indennizzare la perdita del diritto al mantenimento e in altra parte destinata a indennizzare la perdita di aspettative. Tale punto può essere risolto soltanto mediante un apprezzamento delle circostanze patrimoniali e personali, esistenti, con riferimento alle parti, all'epoca della conclusione della convenzione. Rilevante al proposito è, tra l'altro, sapere se l'ex-moglie disponesse allora di un patrimonio proprio, se potesse essere allora da lei preteso che assumesse un'attività lucrativa e se la tacitazione accordata spontaneamente dall'attore all'ex-moglie secondo la clausola 3 della convenzione già comprendesse un indennizzo per la perdita di aspettative. Trattasi non soltanto BGE 104 II 237 S. 246 di applicare criteri giuridici, ma, e soprattutto, di valutare elementi di fatto. Una siffatta valutazione incombe esclusivamente al giudice cantonale. Ne segue che la causa va rinviata, per quanto concerne questo accertamento, all'istanza precedente perché chiarisca tale questione e addotti una nuova decisione al riguardo.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